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0" w:leftChars="0" w:firstLine="0" w:firstLineChars="0"/>
        <w:rPr>
          <w:rFonts w:hint="eastAsia" w:ascii="宋体" w:hAnsi="宋体" w:eastAsia="宋体" w:cs="宋体"/>
          <w:color w:val="auto"/>
          <w:lang w:val="en-US" w:eastAsia="zh-CN"/>
        </w:rPr>
      </w:pPr>
      <w:r>
        <w:rPr>
          <w:rFonts w:hint="eastAsia" w:ascii="宋体" w:hAnsi="宋体" w:eastAsia="宋体" w:cs="宋体"/>
          <w:b/>
          <w:bCs/>
          <w:color w:val="auto"/>
          <w:sz w:val="24"/>
          <w:highlight w:val="none"/>
          <w:lang w:val="en-US" w:eastAsia="zh-CN"/>
        </w:rPr>
        <w:t xml:space="preserve">附件1 </w:t>
      </w:r>
      <w:bookmarkStart w:id="0" w:name="_GoBack"/>
      <w:bookmarkEnd w:id="0"/>
    </w:p>
    <w:tbl>
      <w:tblPr>
        <w:tblStyle w:val="5"/>
        <w:tblpPr w:leftFromText="180" w:rightFromText="180" w:vertAnchor="text" w:horzAnchor="page" w:tblpX="1575" w:tblpY="532"/>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259"/>
        <w:gridCol w:w="600"/>
        <w:gridCol w:w="1993"/>
        <w:gridCol w:w="3061"/>
        <w:gridCol w:w="1246"/>
        <w:gridCol w:w="1259"/>
        <w:gridCol w:w="3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24" w:type="pct"/>
            <w:noWrap w:val="0"/>
            <w:vAlign w:val="center"/>
          </w:tcPr>
          <w:p>
            <w:pPr>
              <w:keepNext w:val="0"/>
              <w:keepLines w:val="0"/>
              <w:pageBreakBefore w:val="0"/>
              <w:widowControl w:val="0"/>
              <w:kinsoku/>
              <w:wordWrap/>
              <w:overflowPunct/>
              <w:topLinePunct w:val="0"/>
              <w:autoSpaceDE/>
              <w:bidi w:val="0"/>
              <w:adjustRightInd/>
              <w:snapToGrid/>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项目编号</w:t>
            </w:r>
          </w:p>
        </w:tc>
        <w:tc>
          <w:tcPr>
            <w:tcW w:w="444" w:type="pct"/>
            <w:noWrap w:val="0"/>
            <w:vAlign w:val="center"/>
          </w:tcPr>
          <w:p>
            <w:pPr>
              <w:keepNext w:val="0"/>
              <w:keepLines w:val="0"/>
              <w:pageBreakBefore w:val="0"/>
              <w:widowControl w:val="0"/>
              <w:kinsoku/>
              <w:wordWrap/>
              <w:overflowPunct/>
              <w:topLinePunct w:val="0"/>
              <w:autoSpaceDE/>
              <w:bidi w:val="0"/>
              <w:adjustRightInd/>
              <w:snapToGrid/>
              <w:spacing w:line="36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标名称</w:t>
            </w:r>
          </w:p>
        </w:tc>
        <w:tc>
          <w:tcPr>
            <w:tcW w:w="212" w:type="pct"/>
            <w:noWrap w:val="0"/>
            <w:vAlign w:val="center"/>
          </w:tcPr>
          <w:p>
            <w:pPr>
              <w:keepNext w:val="0"/>
              <w:keepLines w:val="0"/>
              <w:pageBreakBefore w:val="0"/>
              <w:widowControl w:val="0"/>
              <w:kinsoku/>
              <w:wordWrap/>
              <w:overflowPunct/>
              <w:topLinePunct w:val="0"/>
              <w:autoSpaceDE/>
              <w:bidi w:val="0"/>
              <w:adjustRightInd/>
              <w:snapToGrid/>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包号</w:t>
            </w:r>
          </w:p>
        </w:tc>
        <w:tc>
          <w:tcPr>
            <w:tcW w:w="703" w:type="pct"/>
            <w:noWrap w:val="0"/>
            <w:vAlign w:val="center"/>
          </w:tcPr>
          <w:p>
            <w:pPr>
              <w:keepNext w:val="0"/>
              <w:keepLines w:val="0"/>
              <w:pageBreakBefore w:val="0"/>
              <w:widowControl w:val="0"/>
              <w:kinsoku/>
              <w:wordWrap/>
              <w:overflowPunct/>
              <w:topLinePunct w:val="0"/>
              <w:autoSpaceDE/>
              <w:bidi w:val="0"/>
              <w:adjustRightInd/>
              <w:snapToGrid/>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包名称</w:t>
            </w:r>
          </w:p>
        </w:tc>
        <w:tc>
          <w:tcPr>
            <w:tcW w:w="1081" w:type="pct"/>
            <w:noWrap w:val="0"/>
            <w:vAlign w:val="center"/>
          </w:tcPr>
          <w:p>
            <w:pPr>
              <w:keepNext w:val="0"/>
              <w:keepLines w:val="0"/>
              <w:pageBreakBefore w:val="0"/>
              <w:widowControl w:val="0"/>
              <w:kinsoku/>
              <w:wordWrap/>
              <w:overflowPunct/>
              <w:topLinePunct w:val="0"/>
              <w:autoSpaceDE/>
              <w:bidi w:val="0"/>
              <w:adjustRightInd/>
              <w:snapToGrid/>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采购内容</w:t>
            </w:r>
          </w:p>
        </w:tc>
        <w:tc>
          <w:tcPr>
            <w:tcW w:w="439" w:type="pct"/>
            <w:noWrap w:val="0"/>
            <w:vAlign w:val="center"/>
          </w:tcPr>
          <w:p>
            <w:pPr>
              <w:keepNext w:val="0"/>
              <w:keepLines w:val="0"/>
              <w:pageBreakBefore w:val="0"/>
              <w:widowControl w:val="0"/>
              <w:kinsoku/>
              <w:wordWrap/>
              <w:overflowPunct/>
              <w:topLinePunct w:val="0"/>
              <w:autoSpaceDE/>
              <w:bidi w:val="0"/>
              <w:adjustRightInd/>
              <w:snapToGrid/>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报价方式</w:t>
            </w:r>
          </w:p>
        </w:tc>
        <w:tc>
          <w:tcPr>
            <w:tcW w:w="444" w:type="pct"/>
            <w:noWrap w:val="0"/>
            <w:vAlign w:val="center"/>
          </w:tcPr>
          <w:p>
            <w:pPr>
              <w:keepNext w:val="0"/>
              <w:keepLines w:val="0"/>
              <w:pageBreakBefore w:val="0"/>
              <w:widowControl w:val="0"/>
              <w:kinsoku/>
              <w:wordWrap/>
              <w:overflowPunct/>
              <w:topLinePunct w:val="0"/>
              <w:autoSpaceDE/>
              <w:bidi w:val="0"/>
              <w:adjustRightInd/>
              <w:snapToGrid/>
              <w:spacing w:line="36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color w:val="auto"/>
                <w:kern w:val="0"/>
                <w:sz w:val="24"/>
                <w:szCs w:val="24"/>
                <w:lang w:eastAsia="zh-CN"/>
              </w:rPr>
              <w:t>采购预算</w:t>
            </w:r>
          </w:p>
        </w:tc>
        <w:tc>
          <w:tcPr>
            <w:tcW w:w="1249" w:type="pct"/>
            <w:noWrap w:val="0"/>
            <w:vAlign w:val="center"/>
          </w:tcPr>
          <w:p>
            <w:pPr>
              <w:keepNext w:val="0"/>
              <w:keepLines w:val="0"/>
              <w:pageBreakBefore w:val="0"/>
              <w:widowControl w:val="0"/>
              <w:kinsoku/>
              <w:wordWrap/>
              <w:overflowPunct/>
              <w:topLinePunct w:val="0"/>
              <w:autoSpaceDE/>
              <w:bidi w:val="0"/>
              <w:adjustRightInd/>
              <w:snapToGrid/>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eastAsia="zh-CN"/>
              </w:rPr>
              <w:t>专用资质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424" w:type="pct"/>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YZ-J-202306098</w:t>
            </w:r>
          </w:p>
        </w:tc>
        <w:tc>
          <w:tcPr>
            <w:tcW w:w="444" w:type="pct"/>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综合服务</w:t>
            </w:r>
          </w:p>
        </w:tc>
        <w:tc>
          <w:tcPr>
            <w:tcW w:w="212" w:type="pct"/>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703" w:type="pct"/>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河南丰源电力科技有限公司股权转让专项审计服务</w:t>
            </w:r>
          </w:p>
        </w:tc>
        <w:tc>
          <w:tcPr>
            <w:tcW w:w="1081" w:type="pct"/>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ind w:left="0" w:leftChars="0" w:firstLine="0" w:firstLineChars="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对河南丰源电力科技有限公司进行以股权转让为目的的专项审计服务，并出具专项审计报告</w:t>
            </w:r>
          </w:p>
        </w:tc>
        <w:tc>
          <w:tcPr>
            <w:tcW w:w="439" w:type="pct"/>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总价报价</w:t>
            </w:r>
          </w:p>
        </w:tc>
        <w:tc>
          <w:tcPr>
            <w:tcW w:w="444" w:type="pct"/>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23万元</w:t>
            </w:r>
          </w:p>
        </w:tc>
        <w:tc>
          <w:tcPr>
            <w:tcW w:w="1249" w:type="pct"/>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1.供应商须为一般纳税人，能够为采购单位开具专用增值税发票；</w:t>
            </w:r>
          </w:p>
          <w:p>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具有国家或省（市）财政部门颁发的会计师事务所执业资格证书，拟派项目负责人具有注册会计师职业资格证书</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424"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宋体" w:hAnsi="宋体" w:eastAsia="宋体" w:cs="宋体"/>
                <w:color w:val="auto"/>
                <w:sz w:val="24"/>
                <w:szCs w:val="24"/>
                <w:lang w:val="en-US" w:eastAsia="zh-CN"/>
              </w:rPr>
            </w:pPr>
          </w:p>
        </w:tc>
        <w:tc>
          <w:tcPr>
            <w:tcW w:w="444" w:type="pct"/>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宋体" w:hAnsi="宋体" w:eastAsia="宋体" w:cs="宋体"/>
                <w:color w:val="auto"/>
                <w:sz w:val="24"/>
                <w:szCs w:val="24"/>
                <w:lang w:val="en-US" w:eastAsia="zh-CN"/>
              </w:rPr>
            </w:pPr>
          </w:p>
        </w:tc>
        <w:tc>
          <w:tcPr>
            <w:tcW w:w="212" w:type="pct"/>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703" w:type="pct"/>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河南丰源电力科技有限公司股权转让资产评估服务</w:t>
            </w:r>
          </w:p>
        </w:tc>
        <w:tc>
          <w:tcPr>
            <w:tcW w:w="1081" w:type="pct"/>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ind w:left="0" w:leftChars="0" w:firstLine="0" w:firstLineChars="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对河南丰源电力科技有限公司进行以股权转让为目的的评估服务，并出具资产评估报告</w:t>
            </w:r>
          </w:p>
        </w:tc>
        <w:tc>
          <w:tcPr>
            <w:tcW w:w="439" w:type="pct"/>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总价报价</w:t>
            </w:r>
          </w:p>
        </w:tc>
        <w:tc>
          <w:tcPr>
            <w:tcW w:w="444" w:type="pct"/>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15万元</w:t>
            </w:r>
          </w:p>
        </w:tc>
        <w:tc>
          <w:tcPr>
            <w:tcW w:w="1249" w:type="pct"/>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1.供应商须为一般纳税人，能够为采购单位开具专用增值税发票；</w:t>
            </w:r>
          </w:p>
          <w:p>
            <w:pPr>
              <w:keepNext w:val="0"/>
              <w:keepLines w:val="0"/>
              <w:pageBreakBefore w:val="0"/>
              <w:widowControl w:val="0"/>
              <w:kinsoku/>
              <w:wordWrap/>
              <w:overflowPunct/>
              <w:topLinePunct w:val="0"/>
              <w:autoSpaceDE/>
              <w:autoSpaceDN w:val="0"/>
              <w:bidi w:val="0"/>
              <w:adjustRightInd/>
              <w:snapToGrid/>
              <w:spacing w:line="360" w:lineRule="auto"/>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2.具有国家或省（市）财政部门颁发的备案证明材料，拟派项目负责人具有评估师资格证书。</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OTVmNmM1YmI4MjIzYjdlODAyNWZhNzU4NjE1MGIifQ=="/>
  </w:docVars>
  <w:rsids>
    <w:rsidRoot w:val="6D702A0A"/>
    <w:rsid w:val="6D702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tabs>
        <w:tab w:val="left" w:pos="606"/>
      </w:tabs>
    </w:pPr>
    <w:rPr>
      <w:rFonts w:ascii="方正仿宋简体" w:eastAsia="方正仿宋简体"/>
      <w:sz w:val="32"/>
    </w:rPr>
  </w:style>
  <w:style w:type="paragraph" w:styleId="3">
    <w:name w:val="Body Text 2"/>
    <w:basedOn w:val="1"/>
    <w:qFormat/>
    <w:uiPriority w:val="0"/>
    <w:pPr>
      <w:widowControl/>
      <w:overflowPunct w:val="0"/>
      <w:autoSpaceDE w:val="0"/>
      <w:autoSpaceDN w:val="0"/>
      <w:adjustRightInd w:val="0"/>
      <w:jc w:val="left"/>
      <w:textAlignment w:val="baseline"/>
    </w:pPr>
  </w:style>
  <w:style w:type="paragraph" w:styleId="4">
    <w:name w:val="footer"/>
    <w:basedOn w:val="1"/>
    <w:qFormat/>
    <w:uiPriority w:val="99"/>
    <w:pPr>
      <w:tabs>
        <w:tab w:val="center" w:pos="4153"/>
        <w:tab w:val="right" w:pos="8306"/>
      </w:tabs>
      <w:snapToGrid w:val="0"/>
      <w:jc w:val="left"/>
    </w:pPr>
    <w:rPr>
      <w:sz w:val="18"/>
      <w:szCs w:val="18"/>
    </w:rPr>
  </w:style>
  <w:style w:type="paragraph" w:customStyle="1" w:styleId="7">
    <w:name w:val="正文文本首行缩进 21"/>
    <w:basedOn w:val="8"/>
    <w:qFormat/>
    <w:uiPriority w:val="0"/>
    <w:pPr>
      <w:ind w:firstLine="420" w:firstLineChars="200"/>
    </w:pPr>
  </w:style>
  <w:style w:type="paragraph" w:customStyle="1" w:styleId="8">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2023-06-14T09:20:00Z</dcterms:created>
  <dc:creator>文档存本地丢失不负责</dc:creator>
  <cp:lastModifiedBy>文档存本地丢失不负责</cp:lastModifiedBy>
  <dcterms:modified xsi:type="dcterms:W3CDTF">2023-06-14T09:20:41Z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47A13B6E6C02400484ACD65009D20F93_11</vt:lpwstr>
  </property>
</Properties>
</file>