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leftChars="0" w:firstLine="0" w:firstLineChars="0"/>
        <w:rPr>
          <w:rFonts w:hint="eastAsia" w:ascii="宋体" w:hAnsi="宋体" w:eastAsia="宋体" w:cs="宋体"/>
          <w:color w:val="auto"/>
          <w:lang w:val="en-US" w:eastAsia="zh-CN"/>
        </w:rPr>
      </w:pPr>
      <w:r>
        <w:rPr>
          <w:rFonts w:hint="eastAsia" w:ascii="宋体" w:hAnsi="宋体" w:eastAsia="宋体" w:cs="宋体"/>
          <w:b/>
          <w:bCs/>
          <w:color w:val="auto"/>
          <w:sz w:val="24"/>
          <w:highlight w:val="none"/>
          <w:lang w:val="en-US" w:eastAsia="zh-CN"/>
        </w:rPr>
        <w:t xml:space="preserve">附件1 </w:t>
      </w:r>
    </w:p>
    <w:tbl>
      <w:tblPr>
        <w:tblStyle w:val="10"/>
        <w:tblpPr w:leftFromText="180" w:rightFromText="180" w:vertAnchor="text" w:horzAnchor="page" w:tblpX="1575" w:tblpY="532"/>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1011"/>
        <w:gridCol w:w="717"/>
        <w:gridCol w:w="2503"/>
        <w:gridCol w:w="3209"/>
        <w:gridCol w:w="1435"/>
        <w:gridCol w:w="1494"/>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78"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cs="宋体"/>
                <w:b/>
                <w:bCs/>
                <w:color w:val="auto"/>
                <w:kern w:val="0"/>
                <w:sz w:val="24"/>
                <w:szCs w:val="24"/>
                <w:lang w:eastAsia="zh-CN"/>
              </w:rPr>
              <w:t>项目编号</w:t>
            </w:r>
          </w:p>
        </w:tc>
        <w:tc>
          <w:tcPr>
            <w:tcW w:w="356" w:type="pct"/>
            <w:noWrap w:val="0"/>
            <w:vAlign w:val="center"/>
          </w:tcPr>
          <w:p>
            <w:pPr>
              <w:spacing w:line="360" w:lineRule="auto"/>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标名称</w:t>
            </w:r>
          </w:p>
        </w:tc>
        <w:tc>
          <w:tcPr>
            <w:tcW w:w="253"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包号</w:t>
            </w:r>
          </w:p>
        </w:tc>
        <w:tc>
          <w:tcPr>
            <w:tcW w:w="883"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包名称</w:t>
            </w:r>
          </w:p>
        </w:tc>
        <w:tc>
          <w:tcPr>
            <w:tcW w:w="1132"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采购内容</w:t>
            </w:r>
          </w:p>
        </w:tc>
        <w:tc>
          <w:tcPr>
            <w:tcW w:w="506" w:type="pct"/>
            <w:noWrap w:val="0"/>
            <w:vAlign w:val="center"/>
          </w:tcPr>
          <w:p>
            <w:pPr>
              <w:spacing w:line="36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报价方式</w:t>
            </w:r>
          </w:p>
        </w:tc>
        <w:tc>
          <w:tcPr>
            <w:tcW w:w="527" w:type="pct"/>
            <w:noWrap w:val="0"/>
            <w:vAlign w:val="center"/>
          </w:tcPr>
          <w:p>
            <w:pPr>
              <w:spacing w:line="360" w:lineRule="auto"/>
              <w:jc w:val="center"/>
              <w:rPr>
                <w:rFonts w:hint="eastAsia" w:ascii="宋体" w:hAnsi="宋体" w:cs="宋体"/>
                <w:b/>
                <w:bCs/>
                <w:color w:val="auto"/>
                <w:kern w:val="0"/>
                <w:sz w:val="24"/>
                <w:szCs w:val="24"/>
                <w:lang w:eastAsia="zh-CN"/>
              </w:rPr>
            </w:pPr>
            <w:r>
              <w:rPr>
                <w:rFonts w:hint="eastAsia" w:ascii="宋体" w:hAnsi="宋体" w:cs="宋体"/>
                <w:b/>
                <w:bCs/>
                <w:color w:val="auto"/>
                <w:kern w:val="0"/>
                <w:sz w:val="24"/>
                <w:szCs w:val="24"/>
                <w:lang w:eastAsia="zh-CN"/>
              </w:rPr>
              <w:t>采购预算（万元）</w:t>
            </w:r>
          </w:p>
        </w:tc>
        <w:tc>
          <w:tcPr>
            <w:tcW w:w="961" w:type="pct"/>
            <w:noWrap w:val="0"/>
            <w:vAlign w:val="center"/>
          </w:tcPr>
          <w:p>
            <w:pPr>
              <w:spacing w:line="360" w:lineRule="auto"/>
              <w:jc w:val="center"/>
              <w:rPr>
                <w:rFonts w:hint="eastAsia" w:ascii="宋体" w:hAnsi="宋体" w:eastAsia="宋体" w:cs="宋体"/>
                <w:b/>
                <w:bCs/>
                <w:color w:val="auto"/>
                <w:kern w:val="0"/>
                <w:sz w:val="24"/>
                <w:szCs w:val="24"/>
                <w:lang w:eastAsia="zh-CN"/>
              </w:rPr>
            </w:pPr>
            <w:r>
              <w:rPr>
                <w:rFonts w:hint="eastAsia" w:ascii="宋体" w:hAnsi="宋体" w:eastAsia="宋体" w:cs="宋体"/>
                <w:b/>
                <w:bCs/>
                <w:color w:val="auto"/>
                <w:kern w:val="0"/>
                <w:sz w:val="24"/>
                <w:szCs w:val="24"/>
                <w:lang w:eastAsia="zh-CN"/>
              </w:rPr>
              <w:t>专用资质、业绩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trPr>
        <w:tc>
          <w:tcPr>
            <w:tcW w:w="378"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YZ-J-202307112</w:t>
            </w:r>
          </w:p>
        </w:tc>
        <w:tc>
          <w:tcPr>
            <w:tcW w:w="356" w:type="pct"/>
            <w:noWrap w:val="0"/>
            <w:vAlign w:val="center"/>
          </w:tcPr>
          <w:p>
            <w:pPr>
              <w:autoSpaceDN w:val="0"/>
              <w:jc w:val="center"/>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技术服务</w:t>
            </w:r>
          </w:p>
        </w:tc>
        <w:tc>
          <w:tcPr>
            <w:tcW w:w="253" w:type="pct"/>
            <w:noWrap w:val="0"/>
            <w:vAlign w:val="center"/>
          </w:tcPr>
          <w:p>
            <w:pPr>
              <w:autoSpaceDN w:val="0"/>
              <w:jc w:val="center"/>
              <w:textAlignment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w:t>
            </w:r>
          </w:p>
        </w:tc>
        <w:tc>
          <w:tcPr>
            <w:tcW w:w="883"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沿太行山高速公路西延电力线路迁改设计施工总承包穿越林区影响专题报告咨询服务项目</w:t>
            </w:r>
          </w:p>
        </w:tc>
        <w:tc>
          <w:tcPr>
            <w:tcW w:w="1132" w:type="pct"/>
            <w:noWrap w:val="0"/>
            <w:vAlign w:val="center"/>
          </w:tcPr>
          <w:p>
            <w:pPr>
              <w:pStyle w:val="7"/>
              <w:keepNext w:val="0"/>
              <w:keepLines w:val="0"/>
              <w:pageBreakBefore w:val="0"/>
              <w:widowControl w:val="0"/>
              <w:kinsoku/>
              <w:wordWrap/>
              <w:overflowPunct/>
              <w:topLinePunct w:val="0"/>
              <w:autoSpaceDE/>
              <w:bidi w:val="0"/>
              <w:adjustRightInd/>
              <w:snapToGrid/>
              <w:spacing w:after="0" w:afterLines="0"/>
              <w:ind w:left="0" w:leftChars="0" w:firstLine="0" w:firstLineChars="0"/>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完成沿太行山高速公路西延电力线路迁改设计施工总承包穿越林区影响专题报告，并获得项目施工批复</w:t>
            </w:r>
          </w:p>
        </w:tc>
        <w:tc>
          <w:tcPr>
            <w:tcW w:w="506" w:type="pct"/>
            <w:noWrap w:val="0"/>
            <w:vAlign w:val="center"/>
          </w:tcPr>
          <w:p>
            <w:pPr>
              <w:autoSpaceDN w:val="0"/>
              <w:jc w:val="center"/>
              <w:textAlignment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总价报价</w:t>
            </w:r>
          </w:p>
        </w:tc>
        <w:tc>
          <w:tcPr>
            <w:tcW w:w="527" w:type="pct"/>
            <w:noWrap w:val="0"/>
            <w:vAlign w:val="center"/>
          </w:tcPr>
          <w:p>
            <w:pPr>
              <w:keepNext w:val="0"/>
              <w:keepLines w:val="0"/>
              <w:pageBreakBefore w:val="0"/>
              <w:widowControl w:val="0"/>
              <w:kinsoku/>
              <w:wordWrap/>
              <w:overflowPunct/>
              <w:topLinePunct w:val="0"/>
              <w:autoSpaceDE/>
              <w:autoSpaceDN w:val="0"/>
              <w:bidi w:val="0"/>
              <w:adjustRightInd/>
              <w:snapToGrid/>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20</w:t>
            </w:r>
          </w:p>
        </w:tc>
        <w:tc>
          <w:tcPr>
            <w:tcW w:w="961" w:type="pct"/>
            <w:noWrap w:val="0"/>
            <w:vAlign w:val="center"/>
          </w:tcPr>
          <w:p>
            <w:pPr>
              <w:autoSpaceDN w:val="0"/>
              <w:jc w:val="left"/>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供应商须为一般纳税人；从事过相同类型工作，须提供1份近三年内办理林业咨询服务相关业绩。</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yOTVmNmM1YmI4MjIzYjdlODAyNWZhNzU4NjE1MGIifQ=="/>
  </w:docVars>
  <w:rsids>
    <w:rsidRoot w:val="72383DDE"/>
    <w:rsid w:val="72383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3">
    <w:name w:val="Body Text"/>
    <w:basedOn w:val="1"/>
    <w:next w:val="4"/>
    <w:qFormat/>
    <w:uiPriority w:val="0"/>
    <w:pPr>
      <w:tabs>
        <w:tab w:val="left" w:pos="606"/>
      </w:tabs>
    </w:pPr>
    <w:rPr>
      <w:rFonts w:ascii="方正仿宋简体" w:eastAsia="方正仿宋简体"/>
      <w:sz w:val="32"/>
    </w:rPr>
  </w:style>
  <w:style w:type="paragraph" w:styleId="4">
    <w:name w:val="Body Text 2"/>
    <w:basedOn w:val="1"/>
    <w:qFormat/>
    <w:uiPriority w:val="0"/>
    <w:pPr>
      <w:widowControl/>
      <w:overflowPunct w:val="0"/>
      <w:autoSpaceDE w:val="0"/>
      <w:autoSpaceDN w:val="0"/>
      <w:adjustRightInd w:val="0"/>
      <w:jc w:val="left"/>
      <w:textAlignment w:val="baseline"/>
    </w:pPr>
  </w:style>
  <w:style w:type="paragraph" w:styleId="5">
    <w:name w:val="Body Text Indent"/>
    <w:basedOn w:val="1"/>
    <w:qFormat/>
    <w:uiPriority w:val="0"/>
    <w:pPr>
      <w:spacing w:after="120" w:afterLines="0"/>
      <w:ind w:left="420" w:leftChars="2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Body Text First Indent"/>
    <w:basedOn w:val="3"/>
    <w:next w:val="8"/>
    <w:qFormat/>
    <w:uiPriority w:val="0"/>
    <w:pPr>
      <w:spacing w:after="120" w:afterLines="0"/>
      <w:ind w:firstLine="420" w:firstLineChars="100"/>
    </w:pPr>
    <w:rPr>
      <w:rFonts w:ascii="Times New Roman" w:eastAsia="宋体"/>
      <w:sz w:val="21"/>
    </w:rPr>
  </w:style>
  <w:style w:type="paragraph" w:styleId="8">
    <w:name w:val="Body Text First Indent 2"/>
    <w:basedOn w:val="5"/>
    <w:next w:val="9"/>
    <w:unhideWhenUsed/>
    <w:qFormat/>
    <w:uiPriority w:val="99"/>
    <w:pPr>
      <w:spacing w:after="120" w:line="240" w:lineRule="auto"/>
      <w:ind w:left="420" w:leftChars="200" w:firstLine="420" w:firstLineChars="200"/>
    </w:pPr>
  </w:style>
  <w:style w:type="paragraph" w:customStyle="1" w:styleId="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2">
    <w:name w:val="正文文本首行缩进 21"/>
    <w:basedOn w:val="13"/>
    <w:qFormat/>
    <w:uiPriority w:val="0"/>
    <w:pPr>
      <w:ind w:firstLine="420" w:firstLineChars="200"/>
    </w:pPr>
  </w:style>
  <w:style w:type="paragraph" w:customStyle="1" w:styleId="13">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2023-07-07T10:29:00Z</dcterms:created>
  <dc:creator>文档存本地丢失不负责</dc:creator>
  <cp:lastModifiedBy>文档存本地丢失不负责</cp:lastModifiedBy>
  <dcterms:modified xsi:type="dcterms:W3CDTF">2023-07-07T10:29:57Z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BF8120501DE248A3974E146F260A503C_11</vt:lpwstr>
  </property>
</Properties>
</file>